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eastAsia="微软雅黑"/>
          <w:color w:val="8A8578"/>
          <w:spacing w:val="40"/>
          <w:sz w:val="17"/>
          <w:szCs w:val="17"/>
        </w:rPr>
        <w:t xml:space="preserve">上海标本模型厂 · 骠马牌实验室分散搅拌设备</w:t>
      </w:r>
    </w:p>
    <w:p>
      <w:pPr>
        <w:pBdr>
          <w:bottom w:val="single" w:color="B32B18" w:sz="6" w:space="6"/>
        </w:pBdr>
        <w:spacing w:after="100"/>
      </w:pPr>
      <w:r>
        <w:rPr>
          <w:rFonts w:ascii="Arial" w:eastAsia="微软雅黑"/>
          <w:b/>
          <w:bCs/>
          <w:color w:val="15120F"/>
          <w:sz w:val="40"/>
          <w:szCs w:val="40"/>
        </w:rPr>
        <w:t xml:space="preserve">JRJ300-PSH数显定时剪切乳化机均质机</w:t>
      </w:r>
    </w:p>
    <w:p>
      <w:pPr>
        <w:spacing w:after="240" w:before="160"/>
      </w:pPr>
      <w:r>
        <w:rPr>
          <w:rFonts w:ascii="Arial" w:eastAsia="微软雅黑"/>
          <w:color w:val="6F6A62"/>
          <w:sz w:val="18"/>
          <w:szCs w:val="18"/>
        </w:rPr>
        <w:t xml:space="preserve">分类：剪切乳化机　　型号：JRJ300-PSH　　品牌：骠马牌</w:t>
      </w:r>
    </w:p>
    <w:p>
      <w:pPr>
        <w:spacing w:after="240"/>
        <w:jc w:val="center"/>
      </w:pPr>
      <w:r>
        <w:drawing>
          <wp:inline distT="0" distB="0" distL="0" distR="0">
            <wp:extent cx="2476500" cy="2476500"/>
            <wp:effectExtent t="0" r="0" b="0" l="0"/>
            <wp:docPr id="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476500" cy="2476500"/>
                    </a:xfrm>
                    <a:prstGeom prst="rect">
                      <a:avLst/>
                    </a:prstGeom>
                  </pic:spPr>
                </pic:pic>
              </a:graphicData>
            </a:graphic>
          </wp:inline>
        </w:drawing>
      </w:r>
    </w:p>
    <w:p>
      <w:pPr>
        <w:spacing w:after="140" w:before="120"/>
      </w:pPr>
      <w:r>
        <w:rPr>
          <w:rFonts w:ascii="Arial" w:eastAsia="微软雅黑"/>
          <w:b/>
          <w:bCs/>
          <w:sz w:val="24"/>
          <w:szCs w:val="24"/>
        </w:rPr>
        <w:t xml:space="preserve">基本参数</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400"/>
        <w:gridCol w:w="6800"/>
      </w:tblGrid>
      <w:tr>
        <w:tc>
          <w:tcPr>
            <w:tcW w:type="dxa" w:w="2400"/>
            <w:tcBorders>
              <w:top w:val="single" w:color="D8D2C6" w:sz="4"/>
              <w:left w:val="single" w:color="D8D2C6" w:sz="4"/>
              <w:bottom w:val="single" w:color="D8D2C6" w:sz="4"/>
              <w:right w:val="single" w:color="D8D2C6" w:sz="4"/>
            </w:tcBorders>
            <w:shd w:fill="F2EFE8" w:val="clear"/>
            <w:tcMar>
              <w:top w:type="dxa" w:w="90"/>
              <w:left w:type="dxa" w:w="140"/>
              <w:bottom w:type="dxa" w:w="90"/>
              <w:right w:type="dxa" w:w="120"/>
            </w:tcMar>
          </w:tcPr>
          <w:p>
            <w:r>
              <w:rPr>
                <w:rFonts w:ascii="Arial" w:eastAsia="微软雅黑"/>
                <w:color w:val="5F5A52"/>
                <w:sz w:val="19"/>
                <w:szCs w:val="19"/>
              </w:rPr>
              <w:t xml:space="preserve">最大处理量</w:t>
            </w:r>
          </w:p>
        </w:tc>
        <w:tc>
          <w:tcPr>
            <w:tcW w:type="dxa" w:w="6800"/>
            <w:tcBorders>
              <w:top w:val="single" w:color="D8D2C6" w:sz="4"/>
              <w:left w:val="single" w:color="D8D2C6" w:sz="4"/>
              <w:bottom w:val="single" w:color="D8D2C6" w:sz="4"/>
              <w:right w:val="single" w:color="D8D2C6" w:sz="4"/>
            </w:tcBorders>
            <w:tcMar>
              <w:top w:type="dxa" w:w="90"/>
              <w:left w:type="dxa" w:w="140"/>
              <w:bottom w:type="dxa" w:w="90"/>
              <w:right w:type="dxa" w:w="120"/>
            </w:tcMar>
          </w:tcPr>
          <w:p>
            <w:r>
              <w:rPr>
                <w:rFonts w:ascii="Arial" w:eastAsia="宋体"/>
                <w:sz w:val="20"/>
                <w:szCs w:val="20"/>
              </w:rPr>
              <w:t xml:space="preserve">40L</w:t>
            </w:r>
          </w:p>
        </w:tc>
      </w:tr>
      <w:tr>
        <w:tc>
          <w:tcPr>
            <w:tcW w:type="dxa" w:w="2400"/>
            <w:tcBorders>
              <w:top w:val="single" w:color="D8D2C6" w:sz="4"/>
              <w:left w:val="single" w:color="D8D2C6" w:sz="4"/>
              <w:bottom w:val="single" w:color="D8D2C6" w:sz="4"/>
              <w:right w:val="single" w:color="D8D2C6" w:sz="4"/>
            </w:tcBorders>
            <w:shd w:fill="F2EFE8" w:val="clear"/>
            <w:tcMar>
              <w:top w:type="dxa" w:w="90"/>
              <w:left w:type="dxa" w:w="140"/>
              <w:bottom w:type="dxa" w:w="90"/>
              <w:right w:type="dxa" w:w="120"/>
            </w:tcMar>
          </w:tcPr>
          <w:p>
            <w:r>
              <w:rPr>
                <w:rFonts w:ascii="Arial" w:eastAsia="微软雅黑"/>
                <w:color w:val="5F5A52"/>
                <w:sz w:val="19"/>
                <w:szCs w:val="19"/>
              </w:rPr>
              <w:t xml:space="preserve">转速选择范围</w:t>
            </w:r>
          </w:p>
        </w:tc>
        <w:tc>
          <w:tcPr>
            <w:tcW w:type="dxa" w:w="6800"/>
            <w:tcBorders>
              <w:top w:val="single" w:color="D8D2C6" w:sz="4"/>
              <w:left w:val="single" w:color="D8D2C6" w:sz="4"/>
              <w:bottom w:val="single" w:color="D8D2C6" w:sz="4"/>
              <w:right w:val="single" w:color="D8D2C6" w:sz="4"/>
            </w:tcBorders>
            <w:tcMar>
              <w:top w:type="dxa" w:w="90"/>
              <w:left w:type="dxa" w:w="140"/>
              <w:bottom w:type="dxa" w:w="90"/>
              <w:right w:type="dxa" w:w="120"/>
            </w:tcMar>
          </w:tcPr>
          <w:p>
            <w:r>
              <w:rPr>
                <w:rFonts w:ascii="Arial" w:eastAsia="宋体"/>
                <w:sz w:val="20"/>
                <w:szCs w:val="20"/>
              </w:rPr>
              <w:t xml:space="preserve">2000~11000r/min</w:t>
            </w:r>
          </w:p>
        </w:tc>
      </w:tr>
      <w:tr>
        <w:tc>
          <w:tcPr>
            <w:tcW w:type="dxa" w:w="2400"/>
            <w:tcBorders>
              <w:top w:val="single" w:color="D8D2C6" w:sz="4"/>
              <w:left w:val="single" w:color="D8D2C6" w:sz="4"/>
              <w:bottom w:val="single" w:color="D8D2C6" w:sz="4"/>
              <w:right w:val="single" w:color="D8D2C6" w:sz="4"/>
            </w:tcBorders>
            <w:shd w:fill="F2EFE8" w:val="clear"/>
            <w:tcMar>
              <w:top w:type="dxa" w:w="90"/>
              <w:left w:type="dxa" w:w="140"/>
              <w:bottom w:type="dxa" w:w="90"/>
              <w:right w:type="dxa" w:w="120"/>
            </w:tcMar>
          </w:tcPr>
          <w:p>
            <w:r>
              <w:rPr>
                <w:rFonts w:ascii="Arial" w:eastAsia="微软雅黑"/>
                <w:color w:val="5F5A52"/>
                <w:sz w:val="19"/>
                <w:szCs w:val="19"/>
              </w:rPr>
              <w:t xml:space="preserve">输入功率</w:t>
            </w:r>
          </w:p>
        </w:tc>
        <w:tc>
          <w:tcPr>
            <w:tcW w:type="dxa" w:w="6800"/>
            <w:tcBorders>
              <w:top w:val="single" w:color="D8D2C6" w:sz="4"/>
              <w:left w:val="single" w:color="D8D2C6" w:sz="4"/>
              <w:bottom w:val="single" w:color="D8D2C6" w:sz="4"/>
              <w:right w:val="single" w:color="D8D2C6" w:sz="4"/>
            </w:tcBorders>
            <w:tcMar>
              <w:top w:type="dxa" w:w="90"/>
              <w:left w:type="dxa" w:w="140"/>
              <w:bottom w:type="dxa" w:w="90"/>
              <w:right w:type="dxa" w:w="120"/>
            </w:tcMar>
          </w:tcPr>
          <w:p>
            <w:r>
              <w:rPr>
                <w:rFonts w:ascii="Arial" w:eastAsia="宋体"/>
                <w:sz w:val="20"/>
                <w:szCs w:val="20"/>
              </w:rPr>
              <w:t xml:space="preserve">510W</w:t>
            </w:r>
          </w:p>
        </w:tc>
      </w:tr>
      <w:tr>
        <w:tc>
          <w:tcPr>
            <w:tcW w:type="dxa" w:w="2400"/>
            <w:tcBorders>
              <w:top w:val="single" w:color="D8D2C6" w:sz="4"/>
              <w:left w:val="single" w:color="D8D2C6" w:sz="4"/>
              <w:bottom w:val="single" w:color="D8D2C6" w:sz="4"/>
              <w:right w:val="single" w:color="D8D2C6" w:sz="4"/>
            </w:tcBorders>
            <w:shd w:fill="F2EFE8" w:val="clear"/>
            <w:tcMar>
              <w:top w:type="dxa" w:w="90"/>
              <w:left w:type="dxa" w:w="140"/>
              <w:bottom w:type="dxa" w:w="90"/>
              <w:right w:type="dxa" w:w="120"/>
            </w:tcMar>
          </w:tcPr>
          <w:p>
            <w:r>
              <w:rPr>
                <w:rFonts w:ascii="Arial" w:eastAsia="微软雅黑"/>
                <w:color w:val="5F5A52"/>
                <w:sz w:val="19"/>
                <w:szCs w:val="19"/>
              </w:rPr>
              <w:t xml:space="preserve">工作头定子配置</w:t>
            </w:r>
          </w:p>
        </w:tc>
        <w:tc>
          <w:tcPr>
            <w:tcW w:type="dxa" w:w="6800"/>
            <w:tcBorders>
              <w:top w:val="single" w:color="D8D2C6" w:sz="4"/>
              <w:left w:val="single" w:color="D8D2C6" w:sz="4"/>
              <w:bottom w:val="single" w:color="D8D2C6" w:sz="4"/>
              <w:right w:val="single" w:color="D8D2C6" w:sz="4"/>
            </w:tcBorders>
            <w:tcMar>
              <w:top w:type="dxa" w:w="90"/>
              <w:left w:type="dxa" w:w="140"/>
              <w:bottom w:type="dxa" w:w="90"/>
              <w:right w:type="dxa" w:w="120"/>
            </w:tcMar>
          </w:tcPr>
          <w:p>
            <w:r>
              <w:rPr>
                <w:rFonts w:ascii="Arial" w:eastAsia="宋体"/>
                <w:sz w:val="20"/>
                <w:szCs w:val="20"/>
              </w:rPr>
              <w:t xml:space="preserve">5mm220mm250mm2</w:t>
            </w:r>
          </w:p>
        </w:tc>
      </w:tr>
      <w:tr>
        <w:tc>
          <w:tcPr>
            <w:tcW w:type="dxa" w:w="2400"/>
            <w:tcBorders>
              <w:top w:val="single" w:color="D8D2C6" w:sz="4"/>
              <w:left w:val="single" w:color="D8D2C6" w:sz="4"/>
              <w:bottom w:val="single" w:color="D8D2C6" w:sz="4"/>
              <w:right w:val="single" w:color="D8D2C6" w:sz="4"/>
            </w:tcBorders>
            <w:shd w:fill="F2EFE8" w:val="clear"/>
            <w:tcMar>
              <w:top w:type="dxa" w:w="90"/>
              <w:left w:type="dxa" w:w="140"/>
              <w:bottom w:type="dxa" w:w="90"/>
              <w:right w:type="dxa" w:w="120"/>
            </w:tcMar>
          </w:tcPr>
          <w:p>
            <w:r>
              <w:rPr>
                <w:rFonts w:ascii="Arial" w:eastAsia="微软雅黑"/>
                <w:color w:val="5F5A52"/>
                <w:sz w:val="19"/>
                <w:szCs w:val="19"/>
              </w:rPr>
              <w:t xml:space="preserve">输出功率</w:t>
            </w:r>
          </w:p>
        </w:tc>
        <w:tc>
          <w:tcPr>
            <w:tcW w:type="dxa" w:w="6800"/>
            <w:tcBorders>
              <w:top w:val="single" w:color="D8D2C6" w:sz="4"/>
              <w:left w:val="single" w:color="D8D2C6" w:sz="4"/>
              <w:bottom w:val="single" w:color="D8D2C6" w:sz="4"/>
              <w:right w:val="single" w:color="D8D2C6" w:sz="4"/>
            </w:tcBorders>
            <w:tcMar>
              <w:top w:type="dxa" w:w="90"/>
              <w:left w:type="dxa" w:w="140"/>
              <w:bottom w:type="dxa" w:w="90"/>
              <w:right w:type="dxa" w:w="120"/>
            </w:tcMar>
          </w:tcPr>
          <w:p>
            <w:r>
              <w:rPr>
                <w:rFonts w:ascii="Arial" w:eastAsia="宋体"/>
                <w:sz w:val="20"/>
                <w:szCs w:val="20"/>
              </w:rPr>
              <w:t xml:space="preserve">300W</w:t>
            </w:r>
          </w:p>
        </w:tc>
      </w:tr>
    </w:tbl>
    <w:p>
      <w:pPr>
        <w:spacing w:after="140" w:before="320"/>
      </w:pPr>
      <w:r>
        <w:rPr>
          <w:rFonts w:ascii="Arial" w:eastAsia="微软雅黑"/>
          <w:b/>
          <w:bCs/>
          <w:sz w:val="24"/>
          <w:szCs w:val="24"/>
        </w:rPr>
        <w:t xml:space="preserve">产品介绍</w:t>
      </w:r>
    </w:p>
    <w:p>
      <w:pPr>
        <w:spacing w:after="100" w:line="340"/>
      </w:pPr>
      <w:r>
        <w:rPr>
          <w:rFonts w:ascii="Arial" w:eastAsia="宋体"/>
          <w:color w:val="3A352D"/>
          <w:sz w:val="20"/>
          <w:szCs w:val="20"/>
        </w:rPr>
        <w:t xml:space="preserve">技术参数</w:t>
      </w:r>
    </w:p>
    <w:p>
      <w:pPr>
        <w:spacing w:after="100" w:line="340"/>
      </w:pPr>
      <w:r>
        <w:rPr>
          <w:rFonts w:ascii="Arial" w:eastAsia="宋体"/>
          <w:color w:val="3A352D"/>
          <w:sz w:val="20"/>
          <w:szCs w:val="20"/>
        </w:rPr>
        <w:t xml:space="preserve">使用电源：220V 50HZ</w:t>
      </w:r>
    </w:p>
    <w:p>
      <w:pPr>
        <w:spacing w:after="100" w:line="340"/>
      </w:pPr>
      <w:r>
        <w:rPr>
          <w:rFonts w:ascii="Arial" w:eastAsia="宋体"/>
          <w:color w:val="3A352D"/>
          <w:sz w:val="20"/>
          <w:szCs w:val="20"/>
        </w:rPr>
        <w:t xml:space="preserve">转速选择范围：2000~11000r/min</w:t>
      </w:r>
    </w:p>
    <w:p>
      <w:pPr>
        <w:spacing w:after="100" w:line="340"/>
      </w:pPr>
      <w:r>
        <w:rPr>
          <w:rFonts w:ascii="Arial" w:eastAsia="宋体"/>
          <w:color w:val="3A352D"/>
          <w:sz w:val="20"/>
          <w:szCs w:val="20"/>
        </w:rPr>
        <w:t xml:space="preserve">输入功率：510W</w:t>
      </w:r>
    </w:p>
    <w:p>
      <w:pPr>
        <w:spacing w:after="100" w:line="340"/>
      </w:pPr>
      <w:r>
        <w:rPr>
          <w:rFonts w:ascii="Arial" w:eastAsia="宋体"/>
          <w:color w:val="3A352D"/>
          <w:sz w:val="20"/>
          <w:szCs w:val="20"/>
        </w:rPr>
        <w:t xml:space="preserve">工作头定子配置：5mm220mm250mm2</w:t>
      </w:r>
    </w:p>
    <w:p>
      <w:pPr>
        <w:spacing w:after="100" w:line="340"/>
      </w:pPr>
      <w:r>
        <w:rPr>
          <w:rFonts w:ascii="Arial" w:eastAsia="宋体"/>
          <w:color w:val="3A352D"/>
          <w:sz w:val="20"/>
          <w:szCs w:val="20"/>
        </w:rPr>
        <w:t xml:space="preserve">输出功率：300W</w:t>
      </w:r>
    </w:p>
    <w:p>
      <w:pPr>
        <w:spacing w:after="100" w:line="340"/>
      </w:pPr>
      <w:r>
        <w:rPr>
          <w:rFonts w:ascii="Arial" w:eastAsia="宋体"/>
          <w:color w:val="3A352D"/>
          <w:sz w:val="20"/>
          <w:szCs w:val="20"/>
        </w:rPr>
        <w:t xml:space="preserve">最大处理量：40L</w:t>
      </w:r>
    </w:p>
    <w:p>
      <w:pPr>
        <w:spacing w:after="100" w:line="340"/>
      </w:pPr>
      <w:r>
        <w:rPr>
          <w:rFonts w:ascii="Arial" w:eastAsia="宋体"/>
          <w:color w:val="3A352D"/>
          <w:sz w:val="20"/>
          <w:szCs w:val="20"/>
        </w:rPr>
        <w:t xml:space="preserve">工作头直径中：70MM</w:t>
      </w:r>
    </w:p>
    <w:p>
      <w:pPr>
        <w:spacing w:after="100" w:line="340"/>
      </w:pPr>
      <w:r>
        <w:rPr>
          <w:rFonts w:ascii="Arial" w:eastAsia="宋体"/>
          <w:color w:val="3A352D"/>
          <w:sz w:val="20"/>
          <w:szCs w:val="20"/>
        </w:rPr>
        <w:t xml:space="preserve">主机外形尺寸：280×360×750mm</w:t>
      </w:r>
    </w:p>
    <w:p>
      <w:pPr>
        <w:spacing w:after="100" w:line="340"/>
      </w:pPr>
      <w:r>
        <w:rPr>
          <w:rFonts w:ascii="Arial" w:eastAsia="宋体"/>
          <w:color w:val="3A352D"/>
          <w:sz w:val="20"/>
          <w:szCs w:val="20"/>
        </w:rPr>
        <w:t xml:space="preserve">JRJ300-PSH系列剪切乳化搅拌机适用于生物、理化、化妆品、保健品和食品等实验领域，是粉碎的实实验物料在液体介质中剪切乳化的实验设备。</w:t>
      </w:r>
    </w:p>
    <w:p>
      <w:pPr>
        <w:spacing w:after="100" w:line="340"/>
      </w:pPr>
      <w:r>
        <w:rPr>
          <w:rFonts w:ascii="Arial" w:eastAsia="宋体"/>
          <w:color w:val="3A352D"/>
          <w:sz w:val="20"/>
          <w:szCs w:val="20"/>
        </w:rPr>
        <w:t xml:space="preserve">产品设计新颖、工艺先进，具有输出功率大、运行速度高,实验操作简便等特性。其特有的无级调速控制功能，使设备在转速范围内可任意选择实验运行转速。</w:t>
      </w:r>
    </w:p>
    <w:p>
      <w:pPr>
        <w:spacing w:after="100" w:line="340"/>
      </w:pPr>
      <w:r>
        <w:rPr>
          <w:rFonts w:ascii="Arial" w:eastAsia="宋体"/>
          <w:color w:val="3A352D"/>
          <w:sz w:val="20"/>
          <w:szCs w:val="20"/>
        </w:rPr>
        <w:t xml:space="preserve">剪切乳化工作头的独特结构，确保了工作头的转子在电机高速驱动下旋转线速度高，产生强大的液体剪切力和剧烈的高频机械效应，促使实验物料从实验容器底部吸入转子区进行强力混合，并通过离心力从定子孔中甩出相互撞击。</w:t>
      </w:r>
    </w:p>
    <w:p>
      <w:pPr>
        <w:spacing w:after="100" w:line="340"/>
      </w:pPr>
      <w:r>
        <w:rPr>
          <w:rFonts w:ascii="Arial" w:eastAsia="宋体"/>
          <w:color w:val="3A352D"/>
          <w:sz w:val="20"/>
          <w:szCs w:val="20"/>
        </w:rPr>
        <w:t xml:space="preserve">定子可以间隙流量，防止大量的介质转动，且在一个很小的空间里发挥很高的效能，效能比普通的搅拌高约一千倍。配合精密的转子和定子在离心力作用下相互剪切，使实验料物承受了每分钟高达数万次的剪切、撕裂、撞击和混合，从而达到剪切乳化的效果。</w:t>
      </w:r>
    </w:p>
    <w:p>
      <w:pPr>
        <w:spacing w:after="100" w:line="340"/>
      </w:pPr>
      <w:r>
        <w:rPr>
          <w:rFonts w:ascii="Arial" w:eastAsia="宋体"/>
          <w:color w:val="3A352D"/>
          <w:sz w:val="20"/>
          <w:szCs w:val="20"/>
        </w:rPr>
        <w:t xml:space="preserve">不同规格的工作头定子配置,是为满足不同的实验需求而设计的。覆盖了一个更为广阔的应用面:粉碎、乳化,均质、聚合、悬浮、溶解和搅拌等。其与众不同的特性和功能，实为工厂、医疗单位、生物研究、化妆用品、食品加工、大专院校等的科学研究、产品开发品质控制和生产过程应用的理想设备。</w:t>
      </w:r>
    </w:p>
    <w:p>
      <w:pPr>
        <w:spacing w:after="100" w:line="340"/>
      </w:pPr>
      <w:r>
        <w:rPr>
          <w:rFonts w:ascii="Arial" w:eastAsia="宋体"/>
          <w:color w:val="3A352D"/>
          <w:sz w:val="20"/>
          <w:szCs w:val="20"/>
        </w:rPr>
        <w:t xml:space="preserve">基本构造</w:t>
      </w:r>
    </w:p>
    <w:p>
      <w:pPr>
        <w:spacing w:after="100" w:line="340"/>
      </w:pPr>
      <w:r>
        <w:rPr>
          <w:rFonts w:ascii="Arial" w:eastAsia="宋体"/>
          <w:color w:val="3A352D"/>
          <w:sz w:val="20"/>
          <w:szCs w:val="20"/>
        </w:rPr>
        <w:t xml:space="preserve">本机由运行状态控制器、驱动电机及剪切乳化搅拌工作头等组成:</w:t>
      </w:r>
    </w:p>
    <w:p>
      <w:pPr>
        <w:spacing w:after="100" w:line="340"/>
      </w:pPr>
      <w:r>
        <w:rPr>
          <w:rFonts w:ascii="Arial" w:eastAsia="宋体"/>
          <w:color w:val="3A352D"/>
          <w:sz w:val="20"/>
          <w:szCs w:val="20"/>
        </w:rPr>
        <w:t xml:space="preserve">*运行状态控制器采用数字编码器和2.2寸智能液晶屏，设置方便，显示信息量大，精度高*驱动电机采用输出功率大、结构紧凑的串激式微型电机，设计安全可靠。</w:t>
      </w:r>
    </w:p>
    <w:p>
      <w:pPr>
        <w:spacing w:after="100" w:line="340"/>
      </w:pPr>
      <w:r>
        <w:rPr>
          <w:rFonts w:ascii="Arial" w:eastAsia="宋体"/>
          <w:color w:val="3A352D"/>
          <w:sz w:val="20"/>
          <w:szCs w:val="20"/>
        </w:rPr>
        <w:t xml:space="preserve">*剪切乳化搅拌工作头采用优质不锈钢精制，耐腐蚀性能好，互换定子拆装简便。*剪切乳化搅拌工作头采用联轴节与驱动电机连接，在高速状态运行稳定。</w:t>
      </w:r>
    </w:p>
    <w:p>
      <w:pPr>
        <w:spacing w:after="100" w:line="340"/>
      </w:pPr>
      <w:r>
        <w:rPr>
          <w:rFonts w:ascii="Arial" w:eastAsia="宋体"/>
          <w:color w:val="3A352D"/>
          <w:sz w:val="20"/>
          <w:szCs w:val="20"/>
        </w:rPr>
        <w:t xml:space="preserve">设备安装</w:t>
      </w:r>
    </w:p>
    <w:p>
      <w:pPr>
        <w:spacing w:after="100" w:line="340"/>
      </w:pPr>
      <w:r>
        <w:rPr>
          <w:rFonts w:ascii="Arial" w:eastAsia="宋体"/>
          <w:color w:val="3A352D"/>
          <w:sz w:val="20"/>
          <w:szCs w:val="20"/>
        </w:rPr>
        <w:t xml:space="preserve">*驱动电机与调速控制器的电源、信号线联接，请按插头插座的各自规格进行接插。先将驱动电机电源线接到控制器上，然后插上输入电源线，再将驱动电机的四芯信号线插头按指示方向插入控制器信号线插座中，並拧紧螺帽。</w:t>
      </w:r>
    </w:p>
    <w:p>
      <w:pPr>
        <w:spacing w:after="100" w:line="340"/>
      </w:pPr>
      <w:r>
        <w:rPr>
          <w:rFonts w:ascii="Arial" w:eastAsia="宋体"/>
          <w:color w:val="3A352D"/>
          <w:sz w:val="20"/>
          <w:szCs w:val="20"/>
        </w:rPr>
        <w:t xml:space="preserve">*为了确保本机运行安全，请将各关键联接点用力固定，並经常检查，以防松动。在输入电源调试设备前请仔细阅读“使用維护”后方可进行。</w:t>
      </w:r>
    </w:p>
    <w:p>
      <w:pPr>
        <w:pBdr>
          <w:top w:val="single" w:color="C9C3B6" w:sz="6" w:space="8"/>
        </w:pBdr>
        <w:spacing w:after="0" w:before="420"/>
        <w:jc w:val="center"/>
      </w:pPr>
      <w:r>
        <w:rPr>
          <w:rFonts w:ascii="Arial" w:eastAsia="微软雅黑"/>
          <w:color w:val="8A8578"/>
          <w:spacing w:val="20"/>
          <w:sz w:val="19"/>
          <w:szCs w:val="19"/>
        </w:rPr>
        <w:t xml:space="preserve">https://www.shbbmx.com.cn</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宋体"/>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image1.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2026-11-06T06:39:32.146Z</dcterms:created>
  <dcterms:modified xsi:type="dcterms:W3CDTF">2026-11-06T06:39:32.146Z</dcterms:modified>
</cp:coreProperties>
</file>

<file path=docProps/custom.xml><?xml version="1.0" encoding="utf-8"?>
<Properties xmlns="http://schemas.openxmlformats.org/officeDocument/2006/custom-properties" xmlns:vt="http://schemas.openxmlformats.org/officeDocument/2006/docPropsVTypes"/>
</file>